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</w:rPr>
        <w:drawing>
          <wp:inline distB="114300" distT="114300" distL="114300" distR="114300">
            <wp:extent cx="981075" cy="962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Provincia de Buenos Aires - Dirección General de Cultura y Educación -  Dirección de Educación Superior Instituto Superior de Formación Docente y Técnica Nº 46 “2 de abril de 1982”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Sede: Pueyrredón 1250 - Sub-sede: Pueyrredón 914 -  Ramos Mejía -  La Matanza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rtl w:val="0"/>
          </w:rPr>
          <w:t xml:space="preserve">www.instituto46.edu.ar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@instituo.46</w:t>
      </w:r>
    </w:p>
    <w:p w:rsidR="00000000" w:rsidDel="00000000" w:rsidP="00000000" w:rsidRDefault="00000000" w:rsidRPr="00000000" w14:paraId="00000005">
      <w:pPr>
        <w:jc w:val="center"/>
        <w:rPr>
          <w:rFonts w:ascii="Cambria Math" w:cs="Cambria Math" w:eastAsia="Cambria Math" w:hAnsi="Cambria Math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 Math" w:cs="Cambria Math" w:eastAsia="Cambria Math" w:hAnsi="Cambria Math"/>
          <w:b w:val="1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u w:val="single"/>
          <w:rtl w:val="0"/>
        </w:rPr>
        <w:t xml:space="preserve">PROGRAMA 2024</w:t>
      </w:r>
    </w:p>
    <w:p w:rsidR="00000000" w:rsidDel="00000000" w:rsidP="00000000" w:rsidRDefault="00000000" w:rsidRPr="00000000" w14:paraId="00000007">
      <w:pPr>
        <w:rPr>
          <w:rFonts w:ascii="Cambria Math" w:cs="Cambria Math" w:eastAsia="Cambria Math" w:hAnsi="Cambria Math"/>
          <w:sz w:val="18"/>
          <w:szCs w:val="18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NOMBRE DE LA CARRERA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: Profesorado en Educación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CURSO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: 3° Año</w:t>
      </w:r>
    </w:p>
    <w:p w:rsidR="00000000" w:rsidDel="00000000" w:rsidP="00000000" w:rsidRDefault="00000000" w:rsidRPr="00000000" w14:paraId="00000009">
      <w:pPr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ESPACIO CURRICULAR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: Didáctica de las Prácticas del Lenguaje y la Literatura II</w:t>
      </w:r>
    </w:p>
    <w:p w:rsidR="00000000" w:rsidDel="00000000" w:rsidP="00000000" w:rsidRDefault="00000000" w:rsidRPr="00000000" w14:paraId="0000000A">
      <w:pPr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PROFESOR/A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: Lic. María Nazarena Martínez</w:t>
      </w:r>
    </w:p>
    <w:p w:rsidR="00000000" w:rsidDel="00000000" w:rsidP="00000000" w:rsidRDefault="00000000" w:rsidRPr="00000000" w14:paraId="0000000B">
      <w:pPr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CORREO ELECTRÓNICO: </w:t>
      </w:r>
      <w:r w:rsidDel="00000000" w:rsidR="00000000" w:rsidRPr="00000000">
        <w:rPr>
          <w:rtl w:val="0"/>
        </w:rPr>
        <w:t xml:space="preserve">martineznazarena@instituto46.edu.ar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u w:val="single"/>
          <w:rtl w:val="0"/>
        </w:rPr>
        <w:t xml:space="preserve">HORARIO SEMANAL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: lunes de 15.30 a 17.30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EXPECTATIVAS DE LOGRO: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A lo largo de la cursada, se espera: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Familiarizar al docente en formación con un conjunto de conceptos y aproximaciones a los estudios de la Didáctica de las Prácticas del lenguaje y la Literatura, a través de un panorama general que le permita identificar las líneas epistemológicas y los distintos tipos de aproximación que se han propuesto en el sistema educativo del último siglo.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Instrumentar al docente en formación con conceptos operativos de análisis de textos académicos y culturales, con un entrenamiento que le permita asimismo la exploración autónoma de otros conceptos.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Iniciar la instrumentación del docente en formación para que se incorpore activamente a la dinámica de la enseñanza práctica enmarcada en la propuesta curricular vigente, orientándolo hacia una profundización sensible a sus propias inquietudes y búsquedas; desarrollar en él  una aproximación crítica y creativa hacia la producción de conocimiento; y contribuir a su capacitación para la investigación propia y la elaboración de diversas estrategias adecuadas a las necesidades didácticas.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Que el docente en formación valore y elabore el trabajo y la resolución de problemáticas, tanto en forma grupal como individual, de manera oral y escrita.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Desarrollar las competencias necesarias para la escritura de secuencias didácticas, junto con una comprensión crítica de los contenidos teóricos que sustentan esta práctica.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Fomentar el análisis crítico de las propias interpretaciones y producciones de los diferentes tipos de textos orales y escritos.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CONTENIDOS: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1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Prácticas del lenguaje y literatura en Educación Primaria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Diseño curricular de Educación Primaria.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Lectura y análisis del “capítulo” de Prácticas del Lenguaje y Literatura y su inserción dentro del diseño curricular del nivel.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transversalidad de las TICS y la Educación Sexual Integral.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2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 alfabetización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alfabetización en la Educación Primaria: proceso de adquisición del lenguaje escrito.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alfabetización en contextos de diversidad cultural y lingüística. Primera lengua materna y segunda lengua. Multilingüismo.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3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las prácticas de oralidad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Proceso de adquisición del lenguaje. Relación pensamiento-lenguaje.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Particularidades de la lengua oral y de la lengua escrita. La oralidad en diferentes formatos y soportes, adecuados a los recorridos de los alumnos/as.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escucha y el habla en contextos informales y formales. El diálogo y la conversación. La narración, la exposición, la entrevista, la argumentación, entre otros. La re-narración con sentido social. Adecuación a las situaciones comunicativas.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Propuesta didáctica: Diseño de diversas modalidades organizativas de situaciones didácticas de prácticas de oralidad.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4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las prácticas de lectura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Qué es leer. La lectura en diferentes formatos y soportes, adecuados a los recorridos lectores de los alumnos/as. Propósitos de la lectura: leer para saber, leer para hacer, leer para disfrutar. Géneros discursivos. Situaciones de lectura: lectura del maestro/a; lectura por sí mismo. La formación de lectores. El maestro/a como modelo lector y como mediador de lectura.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Textos literarios y textos de estudio. Textos propios de los medios de comunicación social.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Materiales de lectura: criterios de selección de materiales en diferentes géneros discursivos y en diversos soportes. La biblioteca de aula, la biblioteca escolar, la biblioteca pública y la biblioteca popular.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Propuesta didáctica: diseño de diversas modalidades organizativas de situaciones didácticas de enseñanza de prácticas de lectura.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 literatura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literatura en la Educación Primaria. La estética del texto literario.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literatura de tradición oral. Poesías y canciones tradicionales. Estructura del cuento maravilloso tradicional, particularidades estructurales y morfología de los cuentos populares infantiles.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Literatura de autor. Literatura infantil de autores contemporáneos. Construcción histórica del concepto de literatura infantil.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El corpus literario: criterios de selección.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Propuesta didáctica: diseño de diversas modalidades organizativas de situaciones didácticas de enseñanza de textos literarios.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5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las prácticas de escritura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Qué es escribir. La escritura en diferentes formatos y soportes, adecuados a los recorridos de los alumnos/as. Situaciones de escritura: dictado del maestro/a; escritura por sí mismo.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Textos creativos. Textos de estudio: definición, ejemplo, comparación, reformulación (desarrollo de un tema), resumen, clasificación, preguntas por el qué y por el porqué, narración, cuadro sinóptico, mapa y red conceptual, informes, entre otros. Textos propios de los medios de comunicación social: radio, TV, telemática, cine, teatro.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Propuesta didáctica: diseño de diversas modalidades organizativas de situaciones didácticas de enseñanza de prácticas de escritura.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6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Didáctica de la reflexión sobre las prácticas del lenguaje y la evaluación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lengua como práctica social. La lengua en sus dimensiones comunicativa, expresiva, reflexiva y cognitiva.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Reflexión metalingüística sobre las prácticas de lectura, escritura y oralidad.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Contextualización de la gramática y la normativa.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• La evaluación de las prácticas de lectura, escritura y oralidad.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1</w:t>
      </w:r>
    </w:p>
    <w:p w:rsidR="00000000" w:rsidDel="00000000" w:rsidP="00000000" w:rsidRDefault="00000000" w:rsidRPr="00000000" w14:paraId="00000051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Aranda, Juan y Salgado, Edgar. (2005) El diseño curricular y la planeación estratégica. Revista Innovación educativa, vol. 5, núm. 26. México. Instituto Politécnico Nacional.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Diseño curricular para la educación primaria: primer ciclo y segundo ciclo; coordinación general de Sergio Siciliano. - 1a ed. - La Plata: Dirección General de Cultura y Educación de la Provincia de Buenos Aires, 2018.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Educación sexual integral para la educación primaria: contenidos y propuestas para el aula / coordinado por Marina Mirta. - 1a ed. - Buenos Aires: Ministerio de Educación de la Nación, 2009.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Núcleos de Aprendizajes Prioritarios. Primer Ciclo, Educación Primaria. Buenos Aires: Ministerio de Educación de la Nación.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Núcleos de Aprendizajes Prioritarios. Segundo Ciclo, Educación Primaria. Buenos Aires: Ministerio de Educación de la Nación.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Vottero, Beatriz (2016). ¿Podemos enseñar a leer y escribir usando la computadora y otros dispositivos con teclado y pantalla? Revista Educando para la cohesión social, núm. 119, año 14. Córdoba.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2</w:t>
      </w:r>
    </w:p>
    <w:p w:rsidR="00000000" w:rsidDel="00000000" w:rsidP="00000000" w:rsidRDefault="00000000" w:rsidRPr="00000000" w14:paraId="0000005A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Aprendiendo a leer y escribir: Desarrollo de prácticas apropiadas para niños pequeños (1998). Revista The Reading teacher, Vol 52 N° 2.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Borzone de Manrique, Ana M. (2004) “Módulo 1, 2 y 3”,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Niños y maestros por el camino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Buenos Aires, Red de Apoyo Escolar.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Castedo, M. (1996). La función alfabetizadora de la escuela, hoy. La Plata: Dirección General de Cultura y Educación de la provincia de Buenos Aires.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de Braslavsky, Berta P. Entorno, escuela, maestro, alumno en la alfabetización inicial,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de Braslavsky, Berta P. Las nuevas perspectivas de la alfabetización temprana.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de Braslavsky, Berta P. ¿Qué se entiende por alfabetización?,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Farstrup, Alan. Dimensiones sociales y educacionales de la alfabetización,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Ferreiro, Emilia. Desarrollo de la alfabetización: psicogénesis,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Los niños construyen su lectoescritura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Aique.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Ferreiro, Emilia. Diversidad y proceso de alfabetización: de la celebración a la toma de conciencia,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Goodman, Y. El conocimiento del niño sobre las raíces de la alfabetización y sus implicancias para la escuela,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Kisbe, A. y otros. Debate sobre alfabetización inicial. Una respuesta necesaria,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Larraz, Lucrecia. Concepto de alfabetización, en Capacitación docente en Alfabetización Inicial.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Parodi, P. y Puertas, R. (2014). ¿Cómo escriben los niños que escriben? Una mirada desde los inicios de la alfabetización, en Revista Quehacer Educativo.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3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Avendaño, Fernando. Hablar en clase: habla el docente, habla el alumno.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Cárdenas Páez, Alfonso (2011). Piaget: lenguaje, conocimiento y educación. Revista Colombiana de Educación N° 60. Bogotá.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Borzone de Manrique, Ana M. (2004) “Módulo 4”,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Niños y maestros por el camino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Buenos Aires, Red de Apoyo Escolar.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Desarrollo del lenguaje oral en Primaria (2011), en Temas para la Educación, Revista digital para profesionales de la enseñanza.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Garrán Antolínez, María Luz. Desarrollo de la lengua oral en el aula: una visión pragmática.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Ibáñez S. Nolfa (1999). ¿Cómo surge el lenguaje en el niño? Los planteamientos de Piaget, Vygotski y Maturana. Revista de Psicología de la Universidad de Chile. Vol VIII, N° 1.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Marín, Marta (2006). Capítulo 1: El enfoque comunicacional para la enseñanza de la lengua / Capítulo 2: La comunicación / Capítulo 3: La enunciación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Lingüística y enseñanza de la lengua.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Bs. As., Editorial Aique. 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Navarro Pablo, Macarena (2003). Adquisición del Lenguaje. El principio de la comunicación. CAUCE Revista de Filología y su Didáctica, N° 26.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4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Borzone de Manrique, Ana M. (2004) “Módulo 5, 6 y 7”,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Niños y maestros por el camino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Buenos Aires, Red de Apoyo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Cassany, Daniel (1987) Expresión escrita, en Describir el escribir. Cómo se aprende a escribir.  Barcelona. Paidós.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Catalano, Carmen (1993) ¿Cómo conquistar lectores y no morir en el intento? Revista Por los Adolescentes. N°10, Año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Grunfeld, Diana (2001). La lectura literaria a través de la voz del docente. Dirección General de Cultura y Educación de la provincia de Buenos Aires.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Lardone, Lilia (1993). Adolescentes: Entre socorros y agravios. Revista Por los Adolescentes. N°10, Año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Lerner, Delia. ¿Es posible leer en la escuela?,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Lectura y vida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Interamer.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Los docentes como mediadores de lectura (2007) / Dirección General de Cultura y Educación de la provincia de Buenos Aires; coordinado por Margarita Holzwarth. - 1a ed. - La Plata: Dirección General de Cultura y Educación de la provincia de Buenos 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Medina, Mariano (1993) Delirio urbano, o la experiencia con los adolescentes con las puntas doradas. Revista Por los Adolescentes. N°10, Año V.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Rocha, Ester (1993) Viajes y fronteras. Revista Por los Adolescentes. N°10, Año V.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Silvestri, Adriana. Los géneros discursivos y el desarrollo del pensamiento. Un enfoque sociocultural.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Siro, Ana. Intercambio entre lectores. Un espacio para la construcción colectiva de sentido en el tercer ciclo.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Solé, Isabel. La enseñanza de estrategias de comprensión lectora,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Estrategias de lectura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Universidad de Barcelona. 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Solé, Isabel (1987) La posibilidad de un modelo teórico para la enseñanza de la comprensión lectora,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Infancia y aprendizaje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Sumario.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Solé, Isabel. (1993) Para comprender… antes de la lectura,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Estrategias de lectura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Universidad de Barcelona.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5</w:t>
      </w:r>
    </w:p>
    <w:p w:rsidR="00000000" w:rsidDel="00000000" w:rsidP="00000000" w:rsidRDefault="00000000" w:rsidRPr="00000000" w14:paraId="00000086">
      <w:pPr>
        <w:spacing w:after="0" w:lineRule="auto"/>
        <w:ind w:left="360" w:firstLine="0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Borzone de Manrique, Ana M. (2004) “Módulo 7”,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Niños y maestros por el camino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Buenos Aires, Red de Apoyo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Braslavsky, Berta. La lengua escrita y los procesos de adquisición del conocimiento. Revista Novedades Educativas. N° 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Camps, Anna. Miradas diversas a la enseñanza y el aprendizaje de la composición escrita. Universidad Autónoma de Barcelona.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Curto, Luis y otros (1995). Enseñar a escribir,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Más allá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Bs. As. Ed. Santillana.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Flower y Hayes. Teoría de la redacción.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Goodman, Yetta. Descubriendo la invención de la lengua escrita en los niños,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Los niños construyen su lectoescritura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Aique.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Grunfeld, Diana. La intervención docente en el trabajo con el nombre propio.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Grunfeld, Diana. La psicogénesis de la lengua escrita. Una revolución en la alfabetización inicial,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Alfabetización Inicial. La educación en los primeros años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Ediciones Novedades Educativas.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Landsman, Liliana (1993). La psicogénesis de la escritura. Las investigaciones sudamericanas,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Aprendizaje del lenguaje escrito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Barcelona. Ed. Anthropos.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Lerner, Delia. ¿Qué hay de nuevo y qué hay de viejo en el “nuevo enfoque”?,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El aprendizaje de la lengua escrita en la escuela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Aique.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Ministerio de Educación. Recomendaciones para la enseñanza. ¿Qué es la producción de textos?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Nemirovsky, Myriam (1995). Leer no es lo inverso de escribir,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Más allá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Bs. As. Ed. Santillana.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Teberosky, Ana. ¿Para qué aprender a escribir?,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Más allá de la alfabetización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Ed. Aula XXI.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u w:val="single"/>
          <w:rtl w:val="0"/>
        </w:rPr>
        <w:t xml:space="preserve">Unidad 6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Alvarado, Maite. Estrategia de enseñanza de la Lengua y la Literatura. Universidad virtual de Quilmes.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Graves, Donald. Estructurar un aula donde se lea y se escriba. Ed. Aique.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Kaufman, Ana M. Evolución del grupo en escritura y lectura,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La lectoescritura y la escuela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Lectura y escritura. Diversidad y continuidad en las situaciones didácticas (1997). Dirección General de Cultura y Educación de la provincia de Buenos Aires; La Plata: Dirección General de Cultura y Educación de la provincia de Buenos 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Lerner, Delia. La enseñanza y el aprendizaje escolar. Alegato contra una falsa oposición.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Lerner, Delia (2001). Leer y escribir en la escuela: lo real, lo posible, lo necesario. Bs. As. Fondo de Cultura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Lerner, Delia y otros. Práctica de la lectura, práctica de la escritura. Un itinerario posible a partir de cuarto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Cambria Math" w:cs="Cambria Math" w:eastAsia="Cambria Math" w:hAnsi="Cambria Math"/>
          <w:sz w:val="24"/>
          <w:szCs w:val="24"/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Sanjurjo, Liliana (1997). La evaluación y la acreditación en el proceso de aprendizaje, en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Aprendizaje significativo y enseñanza en los niveles medio y superior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. Rosario. Ed. Homosapiens.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EVALUACIÓN: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br w:type="textWrapping"/>
        <w:br w:type="textWrapping"/>
        <w:t xml:space="preserve">Las instancias examinadoras se desenvolverán durante el trabajo áulico, generando diversas participaciones procesuales y colaborativas de los estudiantes. Las correcciones se considerarán en tiempos procesuales hasta alcanzar los objetivos de acreditación.</w:t>
      </w:r>
    </w:p>
    <w:p w:rsidR="00000000" w:rsidDel="00000000" w:rsidP="00000000" w:rsidRDefault="00000000" w:rsidRPr="00000000" w14:paraId="000000A2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La cátedra incluye como instancias de evaluación: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Un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primer examen parcial teórico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que consistirá en una guía de elaboración conjunta. Se aprobará con 4 (cuatro), pero será una calificación de 7 (siete) o superior la que recibirá la oportunidad de la elección del temario del examen final. Los que posean un resultado inferior a 4 (cuatro), deberán realizar un examen recuperatorio como se expone en el ítem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Una propuesta de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secuenciación de contenidos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centrada en las Prácticas del Lenguaje abordadas en el Nivel Primario a través de la resolución de un trabajo grupal. Esta instancia poseerá el mismo régimen de calificación expuesto en el ítem 1, y su resultado será promediado con el del examen teórico.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240" w:line="276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Un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segundo examen parcial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teórico oral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, que evaluará los contenidos restantes. Esta segunda instancia de evaluación, podrá proponerse en dinámica de grupos. El régimen de calificaciones es el mismo que el enunciado en el ítem 1.</w:t>
      </w:r>
    </w:p>
    <w:p w:rsidR="00000000" w:rsidDel="00000000" w:rsidP="00000000" w:rsidRDefault="00000000" w:rsidRPr="00000000" w14:paraId="000000A6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Una propuesta de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secuenciación didáctica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Primer o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Segundo Ciclo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centrada en las Prácticas del Lenguaje abordadas durante este período. Dicho trabajo poseerá el mismo régimen de calificación expuesto en el ítem 1, y su resultado será promediado con el del examen teórico.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Durante el desarrollo de la cursada y luego de las devoluciones procesuales, se tomarán los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exámenes recuperatorios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del 1° o del 2° examen parcial según cada caso particular y considerando cuál de las dos instancias evaluativas de cada cuatrimestre es la que debe profundizarse; aclarándose que el alumno sólo podrá recuperar un solo cuatrimestre. Quien haya desaprobado ambos deberá recursar la materia.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before="240" w:line="276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 Para rendir el 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 xml:space="preserve">examen final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, se tendrán en cuenta las siguientes cuestiones:</w:t>
      </w:r>
    </w:p>
    <w:p w:rsidR="00000000" w:rsidDel="00000000" w:rsidP="00000000" w:rsidRDefault="00000000" w:rsidRPr="00000000" w14:paraId="000000A9">
      <w:pPr>
        <w:spacing w:after="0" w:before="240" w:line="276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Habiendo obtenido la nota de 7, 8, 9 o 10 en los parciales, los estudiantes deberán preparar un examen final pautado cuya exposición no durará más de 10 minutos. </w:t>
      </w:r>
    </w:p>
    <w:p w:rsidR="00000000" w:rsidDel="00000000" w:rsidP="00000000" w:rsidRDefault="00000000" w:rsidRPr="00000000" w14:paraId="000000AA">
      <w:pPr>
        <w:spacing w:after="0" w:before="240" w:line="276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Si, en cambio, la nota de los parciales fuera 6, 5, o 4 expondrán el examen, se revisarán los parciales y el profesor evaluará la pertinencia de realizar alguna otra pregunta sobre los conceptos trabajados durante el año.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47A6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447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nstituto46.edu.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/b29HldoMB+DYq4PxO03aIUBw==">CgMxLjA4AHIhMU9RUzhuZUlxWGFYNmFOeUNHQXMzUnBsUzJ4VUlfaGM2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2022-03-12T14:43:00Z</dcterms:created>
  <dc:creator>Nazarena</dc:creator>
</cp:coreProperties>
</file>